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28CA" w14:textId="77777777" w:rsidR="003F6070" w:rsidRPr="00881132" w:rsidRDefault="003F6070" w:rsidP="003F6070">
      <w:pPr>
        <w:jc w:val="both"/>
        <w:rPr>
          <w:rFonts w:ascii="Palatino Linotype" w:hAnsi="Palatino Linotype" w:cs="Calibri"/>
          <w:sz w:val="22"/>
          <w:szCs w:val="22"/>
          <w:lang w:val="es-MX"/>
        </w:rPr>
      </w:pPr>
      <w:r w:rsidRPr="00881132">
        <w:rPr>
          <w:rFonts w:ascii="Palatino Linotype" w:hAnsi="Palatino Linotype" w:cs="Calibri"/>
          <w:sz w:val="22"/>
          <w:szCs w:val="22"/>
          <w:lang w:val="es-MX"/>
        </w:rPr>
        <w:t>Comunicado de prensa</w:t>
      </w:r>
    </w:p>
    <w:p w14:paraId="6017ACD7" w14:textId="77777777" w:rsidR="003F6070" w:rsidRPr="00881132" w:rsidRDefault="003F6070" w:rsidP="003F6070">
      <w:pPr>
        <w:jc w:val="both"/>
        <w:rPr>
          <w:rFonts w:ascii="Palatino Linotype" w:hAnsi="Palatino Linotype" w:cs="Calibri"/>
          <w:sz w:val="22"/>
          <w:szCs w:val="22"/>
          <w:lang w:val="es-MX"/>
        </w:rPr>
      </w:pPr>
      <w:r>
        <w:rPr>
          <w:rFonts w:ascii="Palatino Linotype" w:hAnsi="Palatino Linotype" w:cs="Calibri"/>
          <w:sz w:val="22"/>
          <w:szCs w:val="22"/>
          <w:lang w:val="es-MX"/>
        </w:rPr>
        <w:t>P</w:t>
      </w:r>
      <w:r w:rsidRPr="00881132">
        <w:rPr>
          <w:rFonts w:ascii="Palatino Linotype" w:hAnsi="Palatino Linotype" w:cs="Calibri"/>
          <w:sz w:val="22"/>
          <w:szCs w:val="22"/>
          <w:lang w:val="es-MX"/>
        </w:rPr>
        <w:t>ara difusi</w:t>
      </w:r>
      <w:r>
        <w:rPr>
          <w:rFonts w:ascii="Palatino Linotype" w:hAnsi="Palatino Linotype" w:cs="Calibri"/>
          <w:sz w:val="22"/>
          <w:szCs w:val="22"/>
          <w:lang w:val="es-MX"/>
        </w:rPr>
        <w:t>ón inmediata</w:t>
      </w:r>
    </w:p>
    <w:p w14:paraId="074E9DAF" w14:textId="77777777" w:rsidR="003F6070" w:rsidRPr="00881132" w:rsidRDefault="003F6070" w:rsidP="003F6070">
      <w:pPr>
        <w:jc w:val="both"/>
        <w:rPr>
          <w:rFonts w:ascii="Palatino Linotype" w:hAnsi="Palatino Linotype" w:cs="Calibri"/>
          <w:sz w:val="22"/>
          <w:szCs w:val="22"/>
          <w:lang w:val="es-MX"/>
        </w:rPr>
      </w:pPr>
    </w:p>
    <w:p w14:paraId="6E03F36D" w14:textId="77777777" w:rsidR="003F6070" w:rsidRPr="00881132" w:rsidRDefault="003F6070" w:rsidP="003F6070">
      <w:pPr>
        <w:jc w:val="right"/>
        <w:rPr>
          <w:rFonts w:ascii="Palatino Linotype" w:hAnsi="Palatino Linotype" w:cs="Calibri"/>
          <w:sz w:val="22"/>
          <w:szCs w:val="22"/>
          <w:lang w:val="es-MX"/>
        </w:rPr>
      </w:pPr>
      <w:r w:rsidRPr="00881132">
        <w:rPr>
          <w:rFonts w:ascii="Palatino Linotype" w:hAnsi="Palatino Linotype" w:cs="Calibri"/>
          <w:sz w:val="22"/>
          <w:szCs w:val="22"/>
          <w:lang w:val="es-MX"/>
        </w:rPr>
        <w:t>Berl</w:t>
      </w:r>
      <w:r>
        <w:rPr>
          <w:rFonts w:ascii="Palatino Linotype" w:hAnsi="Palatino Linotype" w:cs="Calibri"/>
          <w:sz w:val="22"/>
          <w:szCs w:val="22"/>
          <w:lang w:val="es-MX"/>
        </w:rPr>
        <w:t>í</w:t>
      </w:r>
      <w:r w:rsidRPr="00881132">
        <w:rPr>
          <w:rFonts w:ascii="Palatino Linotype" w:hAnsi="Palatino Linotype" w:cs="Calibri"/>
          <w:sz w:val="22"/>
          <w:szCs w:val="22"/>
          <w:lang w:val="es-MX"/>
        </w:rPr>
        <w:t>n, Septiembre 10, 2020</w:t>
      </w:r>
    </w:p>
    <w:p w14:paraId="289E86EC" w14:textId="77777777" w:rsidR="003F6070" w:rsidRPr="00881132" w:rsidRDefault="003F6070" w:rsidP="003F6070">
      <w:pPr>
        <w:jc w:val="both"/>
        <w:rPr>
          <w:rFonts w:ascii="Palatino Linotype" w:hAnsi="Palatino Linotype" w:cs="Calibri"/>
          <w:b/>
          <w:sz w:val="22"/>
          <w:szCs w:val="22"/>
          <w:lang w:val="es-MX"/>
        </w:rPr>
      </w:pPr>
    </w:p>
    <w:p w14:paraId="64AADBFB" w14:textId="77777777" w:rsidR="003F6070" w:rsidRPr="00881132" w:rsidRDefault="003F6070" w:rsidP="003F6070">
      <w:pPr>
        <w:jc w:val="both"/>
        <w:rPr>
          <w:rFonts w:ascii="Palatino Linotype" w:hAnsi="Palatino Linotype" w:cs="Calibri"/>
          <w:b/>
          <w:sz w:val="22"/>
          <w:szCs w:val="22"/>
          <w:lang w:val="es-MX"/>
        </w:rPr>
      </w:pPr>
    </w:p>
    <w:p w14:paraId="09C61AA2" w14:textId="77777777" w:rsidR="003F6070" w:rsidRDefault="003F6070" w:rsidP="003F6070">
      <w:pPr>
        <w:jc w:val="both"/>
        <w:rPr>
          <w:rFonts w:ascii="Palatino Linotype" w:hAnsi="Palatino Linotype" w:cs="Calibri"/>
          <w:b/>
          <w:sz w:val="32"/>
          <w:szCs w:val="32"/>
          <w:lang w:val="es-MX"/>
        </w:rPr>
      </w:pPr>
      <w:r w:rsidRPr="00881132">
        <w:rPr>
          <w:rFonts w:ascii="Palatino Linotype" w:hAnsi="Palatino Linotype" w:cs="Calibri"/>
          <w:b/>
          <w:sz w:val="32"/>
          <w:szCs w:val="32"/>
          <w:lang w:val="es-MX"/>
        </w:rPr>
        <w:t>La preparación para prevenir y tratar la sepsis es esencial para salvar vidas, muestra la pandemia COVID-19.</w:t>
      </w:r>
    </w:p>
    <w:p w14:paraId="0FF8624A" w14:textId="77777777" w:rsidR="003F6070" w:rsidRPr="00881132" w:rsidRDefault="003F6070" w:rsidP="003F6070">
      <w:pPr>
        <w:jc w:val="both"/>
        <w:rPr>
          <w:rFonts w:ascii="Palatino Linotype" w:hAnsi="Palatino Linotype" w:cs="Calibri"/>
          <w:b/>
          <w:sz w:val="22"/>
          <w:szCs w:val="22"/>
          <w:lang w:val="es-MX"/>
        </w:rPr>
      </w:pPr>
    </w:p>
    <w:p w14:paraId="46DF7584" w14:textId="77777777" w:rsidR="003F6070" w:rsidRPr="00C165F5" w:rsidRDefault="003F6070" w:rsidP="003F6070">
      <w:pPr>
        <w:jc w:val="both"/>
        <w:rPr>
          <w:rFonts w:ascii="Palatino Linotype" w:hAnsi="Palatino Linotype" w:cs="Calibri"/>
          <w:b/>
          <w:sz w:val="21"/>
          <w:szCs w:val="21"/>
          <w:lang w:val="es-MX"/>
        </w:rPr>
      </w:pPr>
      <w:r w:rsidRPr="00C165F5">
        <w:rPr>
          <w:rFonts w:ascii="Palatino Linotype" w:hAnsi="Palatino Linotype" w:cs="Calibri"/>
          <w:b/>
          <w:sz w:val="21"/>
          <w:szCs w:val="21"/>
          <w:lang w:val="es-MX"/>
        </w:rPr>
        <w:t>La sepsis se define como una infección grave que provoca la falla de los órganos y la muerte. La adopción estratégica de las medidas de prevención y tratamiento de la sepsis por los sistemas de salud es más urgente que nunca, ya que las investigaciones confirman que el COVID-19 causa muerte y discapacidad debido a la sepsis.</w:t>
      </w:r>
    </w:p>
    <w:p w14:paraId="05AC317B" w14:textId="77777777" w:rsidR="003F6070" w:rsidRPr="00C165F5" w:rsidRDefault="003F6070" w:rsidP="003F6070">
      <w:pPr>
        <w:jc w:val="both"/>
        <w:rPr>
          <w:rFonts w:ascii="Palatino Linotype" w:hAnsi="Palatino Linotype" w:cs="Calibri"/>
          <w:sz w:val="21"/>
          <w:szCs w:val="21"/>
          <w:lang w:val="es-MX"/>
        </w:rPr>
      </w:pPr>
    </w:p>
    <w:p w14:paraId="39F2FE12" w14:textId="77777777"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t xml:space="preserve">Con motivo del Día Mundial de la Sepsis el 13 de septiembre, </w:t>
      </w:r>
      <w:r w:rsidRPr="003F6070">
        <w:rPr>
          <w:rFonts w:ascii="Palatino Linotype" w:hAnsi="Palatino Linotype" w:cs="Calibri"/>
          <w:sz w:val="21"/>
          <w:szCs w:val="21"/>
          <w:highlight w:val="yellow"/>
          <w:lang w:val="es-MX"/>
        </w:rPr>
        <w:t>la Global Sepsis Alliance</w:t>
      </w:r>
      <w:r w:rsidRPr="00C165F5">
        <w:rPr>
          <w:rFonts w:ascii="Palatino Linotype" w:hAnsi="Palatino Linotype" w:cs="Calibri"/>
          <w:sz w:val="21"/>
          <w:szCs w:val="21"/>
          <w:lang w:val="es-MX"/>
        </w:rPr>
        <w:t xml:space="preserve"> recuerda a los gobiernos, las autoridades sanitarias, los profesionales y todas las partes interesadas que la sepsis debe tratarse como una emergencia sanitaria mundial. La pandemia de COVID-19 ha demostrado que las enfermedades infecciosas, ya sean transmisibles o no, continúan representando una amenaza global y que la prevención y el tratamiento de la sepsis son parte de la solución.</w:t>
      </w:r>
    </w:p>
    <w:p w14:paraId="3A09CFD5" w14:textId="77777777" w:rsidR="003F6070" w:rsidRPr="00C165F5" w:rsidRDefault="003F6070" w:rsidP="003F6070">
      <w:pPr>
        <w:jc w:val="both"/>
        <w:rPr>
          <w:rFonts w:ascii="Palatino Linotype" w:hAnsi="Palatino Linotype" w:cs="Calibri"/>
          <w:sz w:val="21"/>
          <w:szCs w:val="21"/>
          <w:lang w:val="es-MX"/>
        </w:rPr>
      </w:pPr>
    </w:p>
    <w:p w14:paraId="2576E94F" w14:textId="65E26CE2"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t xml:space="preserve">“El Día Mundial de la Sepsis 2020 ocurre en un momento en que la humanidad enfrenta una de las mayores pandemias de los últimos tiempos. Las infecciones graves por COVID-19 son de hecho sepsis viral, que a menudo no se reconoce ”, dice </w:t>
      </w:r>
      <w:r w:rsidRPr="003F6070">
        <w:rPr>
          <w:rFonts w:ascii="Palatino Linotype" w:hAnsi="Palatino Linotype" w:cs="Calibri"/>
          <w:sz w:val="21"/>
          <w:szCs w:val="21"/>
          <w:highlight w:val="yellow"/>
          <w:lang w:val="es-MX"/>
        </w:rPr>
        <w:t>el presidente de la GSA, el profesor Konrad Reinhart</w:t>
      </w:r>
      <w:r w:rsidRPr="00C165F5">
        <w:rPr>
          <w:rFonts w:ascii="Palatino Linotype" w:hAnsi="Palatino Linotype" w:cs="Calibri"/>
          <w:sz w:val="21"/>
          <w:szCs w:val="21"/>
          <w:lang w:val="es-MX"/>
        </w:rPr>
        <w:t>,</w:t>
      </w:r>
      <w:r>
        <w:rPr>
          <w:rFonts w:ascii="Palatino Linotype" w:hAnsi="Palatino Linotype" w:cs="Calibri"/>
          <w:sz w:val="21"/>
          <w:szCs w:val="21"/>
          <w:lang w:val="es-MX"/>
        </w:rPr>
        <w:t xml:space="preserve"> (</w:t>
      </w:r>
      <w:r w:rsidRPr="003F6070">
        <w:rPr>
          <w:rFonts w:ascii="Palatino Linotype" w:hAnsi="Palatino Linotype"/>
          <w:sz w:val="22"/>
          <w:szCs w:val="22"/>
          <w:highlight w:val="yellow"/>
          <w:lang w:val="en-US"/>
        </w:rPr>
        <w:t>Ó COLOQUE A SU PORTAVOZ</w:t>
      </w:r>
      <w:r>
        <w:rPr>
          <w:rFonts w:ascii="Palatino Linotype" w:hAnsi="Palatino Linotype"/>
          <w:sz w:val="22"/>
          <w:szCs w:val="22"/>
          <w:lang w:val="en-US"/>
        </w:rPr>
        <w:t>)</w:t>
      </w:r>
      <w:r w:rsidRPr="00C165F5">
        <w:rPr>
          <w:rFonts w:ascii="Palatino Linotype" w:hAnsi="Palatino Linotype" w:cs="Calibri"/>
          <w:sz w:val="21"/>
          <w:szCs w:val="21"/>
          <w:lang w:val="es-MX"/>
        </w:rPr>
        <w:t xml:space="preserve"> “los pacientes con COVID-19 gravemente enfermos y los afectados por sepsis de otros patógenos, como bacterias, otros virus, hongos o parásitos, son indistinguibles desde el punto de vista clínico". </w:t>
      </w:r>
    </w:p>
    <w:p w14:paraId="5DE147C0" w14:textId="77777777" w:rsidR="003F6070" w:rsidRPr="00C165F5" w:rsidRDefault="003F6070" w:rsidP="003F6070">
      <w:pPr>
        <w:jc w:val="both"/>
        <w:rPr>
          <w:rFonts w:ascii="Palatino Linotype" w:hAnsi="Palatino Linotype" w:cs="Calibri"/>
          <w:sz w:val="21"/>
          <w:szCs w:val="21"/>
          <w:lang w:val="es-MX"/>
        </w:rPr>
      </w:pPr>
    </w:p>
    <w:p w14:paraId="268A789A" w14:textId="77777777"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t>En los primeros seis meses de la pandemia, hubo 17.3 millones de infecciones confirmadas por COVID-19 y 673,833 muertes reportadas, según el Centro de Recursos de Coronavirus de la Universidad John Hopkins. Comparativamente, en los mismos seis meses de 2017, hubo cerca de 25 millones de casos de sepsis "no COVID" que resultaron en un estimado de 5.5 millones de muertes, como se informó en un importante estudio reciente publicado en The Lancet. Además de causar la muerte, COVID-19 también contribuye a la enorme carga de sepsis a través de los efectos a largo plazo de la sepsis inducida por COVID-19. Las consecuencias a largo plazo de la sepsis ya son bien conocidas. Hasta el 50% de los supervivientes de sepsis sufren secuelas físicas, cognitivas y fisiológicas a largo plazo. Los pacientes críticamente enfermos con COVID-19 tienen efectos similares a largo plazo, como fatiga crónica, debilidad muscular, pérdida del sentido del olfato y dificultades de concentración y según los requisitos de rehabilitación.</w:t>
      </w:r>
    </w:p>
    <w:p w14:paraId="29417C58" w14:textId="77777777" w:rsidR="003F6070" w:rsidRPr="00C165F5" w:rsidRDefault="003F6070" w:rsidP="003F6070">
      <w:pPr>
        <w:jc w:val="both"/>
        <w:rPr>
          <w:rFonts w:ascii="Palatino Linotype" w:hAnsi="Palatino Linotype" w:cs="Calibri"/>
          <w:sz w:val="21"/>
          <w:szCs w:val="21"/>
          <w:lang w:val="es-MX"/>
        </w:rPr>
      </w:pPr>
    </w:p>
    <w:p w14:paraId="504C11FC" w14:textId="75DEA3C5"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lastRenderedPageBreak/>
        <w:t xml:space="preserve">“En un momento histórico en el que se espera que los gobiernos fortalezcan los sistemas nacionales de salud, exigimos que fomenten la preparación para hacer frente a las enfermedades infecciosas que amenazan la vida, prevenir y tratar la sepsis”. Continuó </w:t>
      </w:r>
      <w:r w:rsidRPr="003F6070">
        <w:rPr>
          <w:rFonts w:ascii="Palatino Linotype" w:hAnsi="Palatino Linotype" w:cs="Calibri"/>
          <w:sz w:val="21"/>
          <w:szCs w:val="21"/>
          <w:highlight w:val="yellow"/>
          <w:lang w:val="es-MX"/>
        </w:rPr>
        <w:t>el profesor Reinhart</w:t>
      </w:r>
      <w:r w:rsidRPr="00C165F5">
        <w:rPr>
          <w:rFonts w:ascii="Palatino Linotype" w:hAnsi="Palatino Linotype" w:cs="Calibri"/>
          <w:sz w:val="21"/>
          <w:szCs w:val="21"/>
          <w:lang w:val="es-MX"/>
        </w:rPr>
        <w:t xml:space="preserve">, </w:t>
      </w:r>
      <w:r>
        <w:rPr>
          <w:rFonts w:ascii="Palatino Linotype" w:hAnsi="Palatino Linotype" w:cs="Calibri"/>
          <w:sz w:val="21"/>
          <w:szCs w:val="21"/>
          <w:lang w:val="es-MX"/>
        </w:rPr>
        <w:t>(</w:t>
      </w:r>
      <w:r w:rsidRPr="003F6070">
        <w:rPr>
          <w:rFonts w:ascii="Palatino Linotype" w:hAnsi="Palatino Linotype"/>
          <w:sz w:val="22"/>
          <w:szCs w:val="22"/>
          <w:highlight w:val="yellow"/>
          <w:lang w:val="en-US"/>
        </w:rPr>
        <w:t>Ó COLOQUE A SU PORTAVOZ</w:t>
      </w:r>
      <w:r>
        <w:rPr>
          <w:rFonts w:ascii="Palatino Linotype" w:hAnsi="Palatino Linotype"/>
          <w:sz w:val="22"/>
          <w:szCs w:val="22"/>
          <w:lang w:val="en-US"/>
        </w:rPr>
        <w:t>)</w:t>
      </w:r>
      <w:r w:rsidRPr="00C165F5">
        <w:rPr>
          <w:rFonts w:ascii="Palatino Linotype" w:hAnsi="Palatino Linotype" w:cs="Calibri"/>
          <w:sz w:val="21"/>
          <w:szCs w:val="21"/>
          <w:lang w:val="es-MX"/>
        </w:rPr>
        <w:t xml:space="preserve"> “Los sistemas de salud que pueden cuidar adecuadamente los pacientes con sepsis también tienen más probabilidades de responder adecuadamente a la pandemia de COVID-19 y futuras infecciones emergentes".</w:t>
      </w:r>
    </w:p>
    <w:p w14:paraId="115ADE78" w14:textId="77777777" w:rsidR="003F6070" w:rsidRPr="00C165F5" w:rsidRDefault="003F6070" w:rsidP="003F6070">
      <w:pPr>
        <w:jc w:val="both"/>
        <w:rPr>
          <w:rFonts w:ascii="Palatino Linotype" w:hAnsi="Palatino Linotype" w:cs="Calibri"/>
          <w:sz w:val="21"/>
          <w:szCs w:val="21"/>
          <w:lang w:val="es-MX"/>
        </w:rPr>
      </w:pPr>
    </w:p>
    <w:p w14:paraId="661566FA" w14:textId="519F1661"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t xml:space="preserve">Aún no se han encontrado terapias específicas para COVID-19, pero el éxito demostrado de los corticosteroides sugiere que, al igual que con la sepsis, modular la respuesta del sistema inmunológico mejora la supervivencia en COVID-19. "Sin embargo, no existe un medicamento aprobado para curar la sepsis" - añadió </w:t>
      </w:r>
      <w:r w:rsidRPr="003F6070">
        <w:rPr>
          <w:rFonts w:ascii="Palatino Linotype" w:hAnsi="Palatino Linotype" w:cs="Calibri"/>
          <w:sz w:val="21"/>
          <w:szCs w:val="21"/>
          <w:highlight w:val="yellow"/>
          <w:lang w:val="es-MX"/>
        </w:rPr>
        <w:t>el profesor Niranjan "Tex" Kissoon, vicepresidente de la Global Sepsis Alliance</w:t>
      </w:r>
      <w:r w:rsidRPr="00C165F5">
        <w:rPr>
          <w:rFonts w:ascii="Palatino Linotype" w:hAnsi="Palatino Linotype" w:cs="Calibri"/>
          <w:sz w:val="21"/>
          <w:szCs w:val="21"/>
          <w:lang w:val="es-MX"/>
        </w:rPr>
        <w:t xml:space="preserve">, </w:t>
      </w:r>
      <w:r>
        <w:rPr>
          <w:rFonts w:ascii="Palatino Linotype" w:hAnsi="Palatino Linotype" w:cs="Calibri"/>
          <w:sz w:val="21"/>
          <w:szCs w:val="21"/>
          <w:lang w:val="es-MX"/>
        </w:rPr>
        <w:t>(</w:t>
      </w:r>
      <w:r w:rsidRPr="003F6070">
        <w:rPr>
          <w:rFonts w:ascii="Palatino Linotype" w:hAnsi="Palatino Linotype"/>
          <w:sz w:val="22"/>
          <w:szCs w:val="22"/>
          <w:highlight w:val="yellow"/>
          <w:lang w:val="en-US"/>
        </w:rPr>
        <w:t>Ó COLOQUE A SU PORTAVOZ</w:t>
      </w:r>
      <w:r>
        <w:rPr>
          <w:rFonts w:ascii="Palatino Linotype" w:hAnsi="Palatino Linotype"/>
          <w:sz w:val="22"/>
          <w:szCs w:val="22"/>
          <w:lang w:val="en-US"/>
        </w:rPr>
        <w:t xml:space="preserve">) </w:t>
      </w:r>
      <w:r w:rsidRPr="00C165F5">
        <w:rPr>
          <w:rFonts w:ascii="Palatino Linotype" w:hAnsi="Palatino Linotype" w:cs="Calibri"/>
          <w:sz w:val="21"/>
          <w:szCs w:val="21"/>
          <w:lang w:val="es-MX"/>
        </w:rPr>
        <w:t>"La administración temprana de antimicrobianos adecuados ayuda al tratamiento en caso de infecciones bacterianas, pero sobre todo a la prevención y el reconocimiento temprano son clave. Por eso, la concienciación, la formación de los profesionales médicos y los fondos para la investigación de la sepsis son fundamentales para salvar vidas ”.</w:t>
      </w:r>
    </w:p>
    <w:p w14:paraId="5E1C664D" w14:textId="77777777" w:rsidR="003F6070" w:rsidRPr="00C165F5" w:rsidRDefault="003F6070" w:rsidP="003F6070">
      <w:pPr>
        <w:jc w:val="both"/>
        <w:rPr>
          <w:rFonts w:ascii="Palatino Linotype" w:hAnsi="Palatino Linotype" w:cs="Calibri"/>
          <w:sz w:val="21"/>
          <w:szCs w:val="21"/>
          <w:lang w:val="es-MX"/>
        </w:rPr>
      </w:pPr>
    </w:p>
    <w:p w14:paraId="028D7DE1" w14:textId="77777777"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t>La sepsis es una afección devastadora que resulta de la respuesta desregulada del sistema inmunológico a las infecciones, lo que conduce a insuficiencia orgánica y muerte. Cada año, la sepsis afecta a cerca de 50 millones de personas en todo el mundo, de las cuales más del 40% son niños menores de 5 años. Aunque la carga se concentra en los países de ingresos bajos y medios, la sepsis sigue siendo también una de las principales causas de muerte en los países de ingresos altos. En general, la sepsis causa o contribuye a más de 11 millones de muertes cada año. Sin embargo, la mayoría de las muertes por sepsis se pueden prevenir.</w:t>
      </w:r>
    </w:p>
    <w:p w14:paraId="0922D56B" w14:textId="77777777" w:rsidR="003F6070" w:rsidRPr="00C165F5" w:rsidRDefault="003F6070" w:rsidP="003F6070">
      <w:pPr>
        <w:jc w:val="both"/>
        <w:rPr>
          <w:rFonts w:ascii="Palatino Linotype" w:hAnsi="Palatino Linotype" w:cs="Calibri"/>
          <w:sz w:val="21"/>
          <w:szCs w:val="21"/>
          <w:lang w:val="es-MX"/>
        </w:rPr>
      </w:pPr>
    </w:p>
    <w:p w14:paraId="18621197" w14:textId="7A53717C"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t xml:space="preserve">En 2017, la Asamblea Mundial de la Salud aprobó una resolución sobre la sepsis que insta a los miembros de la OMS a "incluir la prevención, el diagnóstico y el tratamiento de la sepsis en los sistemas nacionales de salud". “Notamos una creciente atención a la sepsis por parte de las autoridades, también gracias a los esfuerzos de promoción de GSA, sus alianzas regionales y sus miembros individuales” - </w:t>
      </w:r>
      <w:r w:rsidRPr="003F6070">
        <w:rPr>
          <w:rFonts w:ascii="Palatino Linotype" w:hAnsi="Palatino Linotype" w:cs="Calibri"/>
          <w:sz w:val="21"/>
          <w:szCs w:val="21"/>
          <w:highlight w:val="yellow"/>
          <w:lang w:val="es-MX"/>
        </w:rPr>
        <w:t>concluyó el Dr. Kissoon</w:t>
      </w:r>
      <w:r w:rsidRPr="00C165F5">
        <w:rPr>
          <w:rFonts w:ascii="Palatino Linotype" w:hAnsi="Palatino Linotype" w:cs="Calibri"/>
          <w:sz w:val="21"/>
          <w:szCs w:val="21"/>
          <w:lang w:val="es-MX"/>
        </w:rPr>
        <w:t xml:space="preserve">, </w:t>
      </w:r>
      <w:r>
        <w:rPr>
          <w:rFonts w:ascii="Palatino Linotype" w:hAnsi="Palatino Linotype" w:cs="Calibri"/>
          <w:sz w:val="21"/>
          <w:szCs w:val="21"/>
          <w:lang w:val="es-MX"/>
        </w:rPr>
        <w:t>(</w:t>
      </w:r>
      <w:r w:rsidRPr="003F6070">
        <w:rPr>
          <w:rFonts w:ascii="Palatino Linotype" w:hAnsi="Palatino Linotype"/>
          <w:sz w:val="22"/>
          <w:szCs w:val="22"/>
          <w:highlight w:val="yellow"/>
          <w:lang w:val="en-US"/>
        </w:rPr>
        <w:t>Ó COLOQUE A SU PORTAVOZ</w:t>
      </w:r>
      <w:r>
        <w:rPr>
          <w:rFonts w:ascii="Palatino Linotype" w:hAnsi="Palatino Linotype"/>
          <w:sz w:val="22"/>
          <w:szCs w:val="22"/>
          <w:lang w:val="en-US"/>
        </w:rPr>
        <w:t>)</w:t>
      </w:r>
      <w:r w:rsidRPr="00C165F5">
        <w:rPr>
          <w:rFonts w:ascii="Palatino Linotype" w:hAnsi="Palatino Linotype" w:cs="Calibri"/>
          <w:sz w:val="21"/>
          <w:szCs w:val="21"/>
          <w:lang w:val="es-MX"/>
        </w:rPr>
        <w:t xml:space="preserve"> “Sin embargo, hasta la fecha solo unos pocos países han tomado medidas concretas. La pandemia de COVID-19 debería ser un estímulo para que las autoridades nacionales desarrollen planes nacionales de sepsis".</w:t>
      </w:r>
    </w:p>
    <w:p w14:paraId="05497C4E" w14:textId="77777777" w:rsidR="003F6070" w:rsidRPr="00C165F5" w:rsidRDefault="003F6070" w:rsidP="003F6070">
      <w:pPr>
        <w:jc w:val="both"/>
        <w:rPr>
          <w:rFonts w:ascii="Palatino Linotype" w:hAnsi="Palatino Linotype" w:cs="Calibri"/>
          <w:sz w:val="21"/>
          <w:szCs w:val="21"/>
          <w:lang w:val="es-MX"/>
        </w:rPr>
      </w:pPr>
    </w:p>
    <w:p w14:paraId="6F32783D" w14:textId="77777777" w:rsidR="003F6070" w:rsidRPr="00C165F5" w:rsidRDefault="003F6070" w:rsidP="003F6070">
      <w:pPr>
        <w:jc w:val="both"/>
        <w:rPr>
          <w:rFonts w:ascii="Palatino Linotype" w:hAnsi="Palatino Linotype" w:cs="Calibri"/>
          <w:sz w:val="21"/>
          <w:szCs w:val="21"/>
          <w:lang w:val="es-MX"/>
        </w:rPr>
      </w:pPr>
      <w:r w:rsidRPr="003F6070">
        <w:rPr>
          <w:rFonts w:ascii="Palatino Linotype" w:hAnsi="Palatino Linotype" w:cs="Calibri"/>
          <w:sz w:val="21"/>
          <w:szCs w:val="21"/>
          <w:highlight w:val="yellow"/>
          <w:lang w:val="es-MX"/>
        </w:rPr>
        <w:t>La GSA</w:t>
      </w:r>
      <w:r w:rsidRPr="00C165F5">
        <w:rPr>
          <w:rFonts w:ascii="Palatino Linotype" w:hAnsi="Palatino Linotype" w:cs="Calibri"/>
          <w:sz w:val="21"/>
          <w:szCs w:val="21"/>
          <w:lang w:val="es-MX"/>
        </w:rPr>
        <w:t xml:space="preserve"> hace un llamado a las instituciones gubernamentales, regionales y globales como la OMS para que aumenten su enfoque y asignen más recursos a la lucha contra la sepsis. Estos esfuerzos fortalecerán la respuesta contra COVID-19 y son clave para lograr mejores tasas de supervivencia para los pacientes con COVID-19. También llamamos a todas las partes interesadas a apoyar el movimiento del Día Mundial de la Sepsis y apoyar a </w:t>
      </w:r>
      <w:r w:rsidRPr="003F6070">
        <w:rPr>
          <w:rFonts w:ascii="Palatino Linotype" w:hAnsi="Palatino Linotype" w:cs="Calibri"/>
          <w:sz w:val="21"/>
          <w:szCs w:val="21"/>
          <w:highlight w:val="yellow"/>
          <w:lang w:val="es-MX"/>
        </w:rPr>
        <w:t>la GSA</w:t>
      </w:r>
      <w:r w:rsidRPr="00C165F5">
        <w:rPr>
          <w:rFonts w:ascii="Palatino Linotype" w:hAnsi="Palatino Linotype" w:cs="Calibri"/>
          <w:sz w:val="21"/>
          <w:szCs w:val="21"/>
          <w:lang w:val="es-MX"/>
        </w:rPr>
        <w:t xml:space="preserve"> para crear conciencia sobre la sepsis en todo el mundo durante todo el mes de septiembre y más allá.</w:t>
      </w:r>
      <w:r w:rsidRPr="00C165F5">
        <w:rPr>
          <w:rFonts w:ascii="Palatino Linotype" w:hAnsi="Palatino Linotype" w:cs="Calibri"/>
          <w:sz w:val="21"/>
          <w:szCs w:val="21"/>
          <w:lang w:val="es-MX"/>
        </w:rPr>
        <w:br w:type="page"/>
      </w:r>
    </w:p>
    <w:p w14:paraId="7E3BB1AF" w14:textId="77777777" w:rsidR="003F6070" w:rsidRPr="00881132" w:rsidRDefault="003F6070" w:rsidP="003F6070">
      <w:pPr>
        <w:jc w:val="both"/>
        <w:rPr>
          <w:rFonts w:ascii="Palatino Linotype" w:hAnsi="Palatino Linotype" w:cs="Calibri"/>
          <w:sz w:val="22"/>
          <w:szCs w:val="22"/>
          <w:lang w:val="es-MX"/>
        </w:rPr>
      </w:pPr>
    </w:p>
    <w:p w14:paraId="531C6FFF" w14:textId="7D26334C" w:rsidR="003F6070" w:rsidRPr="003F6070" w:rsidRDefault="003F6070" w:rsidP="003F6070">
      <w:pPr>
        <w:jc w:val="both"/>
        <w:rPr>
          <w:rFonts w:ascii="Palatino Linotype" w:hAnsi="Palatino Linotype" w:cs="Calibri"/>
          <w:b/>
          <w:sz w:val="32"/>
          <w:szCs w:val="32"/>
          <w:lang w:val="en-US"/>
        </w:rPr>
      </w:pPr>
      <w:r w:rsidRPr="00881132">
        <w:rPr>
          <w:rFonts w:ascii="Palatino Linotype" w:hAnsi="Palatino Linotype" w:cs="Calibri"/>
          <w:b/>
          <w:sz w:val="32"/>
          <w:szCs w:val="32"/>
          <w:lang w:val="es-MX"/>
        </w:rPr>
        <w:t>Quienes somos</w:t>
      </w:r>
      <w:r>
        <w:rPr>
          <w:rFonts w:ascii="Palatino Linotype" w:hAnsi="Palatino Linotype" w:cs="Calibri"/>
          <w:b/>
          <w:sz w:val="32"/>
          <w:szCs w:val="32"/>
          <w:lang w:val="es-MX"/>
        </w:rPr>
        <w:t xml:space="preserve"> </w:t>
      </w:r>
      <w:r w:rsidRPr="003F6070">
        <w:rPr>
          <w:rFonts w:ascii="Palatino Linotype" w:hAnsi="Palatino Linotype"/>
          <w:b/>
          <w:bCs/>
          <w:sz w:val="28"/>
          <w:szCs w:val="28"/>
          <w:highlight w:val="yellow"/>
          <w:lang w:val="en-US"/>
        </w:rPr>
        <w:t xml:space="preserve"> [ó </w:t>
      </w:r>
      <w:proofErr w:type="spellStart"/>
      <w:r w:rsidRPr="003F6070">
        <w:rPr>
          <w:rFonts w:ascii="Palatino Linotype" w:hAnsi="Palatino Linotype"/>
          <w:b/>
          <w:bCs/>
          <w:sz w:val="28"/>
          <w:szCs w:val="28"/>
          <w:highlight w:val="yellow"/>
          <w:lang w:val="en-US"/>
        </w:rPr>
        <w:t>coloque</w:t>
      </w:r>
      <w:proofErr w:type="spellEnd"/>
      <w:r w:rsidRPr="003F6070">
        <w:rPr>
          <w:rFonts w:ascii="Palatino Linotype" w:hAnsi="Palatino Linotype"/>
          <w:b/>
          <w:bCs/>
          <w:sz w:val="28"/>
          <w:szCs w:val="28"/>
          <w:highlight w:val="yellow"/>
          <w:lang w:val="en-US"/>
        </w:rPr>
        <w:t xml:space="preserve"> </w:t>
      </w:r>
      <w:proofErr w:type="spellStart"/>
      <w:r w:rsidRPr="003F6070">
        <w:rPr>
          <w:rFonts w:ascii="Palatino Linotype" w:hAnsi="Palatino Linotype"/>
          <w:b/>
          <w:bCs/>
          <w:sz w:val="28"/>
          <w:szCs w:val="28"/>
          <w:highlight w:val="yellow"/>
          <w:lang w:val="en-US"/>
        </w:rPr>
        <w:t>su</w:t>
      </w:r>
      <w:proofErr w:type="spellEnd"/>
      <w:r w:rsidRPr="003F6070">
        <w:rPr>
          <w:rFonts w:ascii="Palatino Linotype" w:hAnsi="Palatino Linotype"/>
          <w:b/>
          <w:bCs/>
          <w:sz w:val="28"/>
          <w:szCs w:val="28"/>
          <w:highlight w:val="yellow"/>
          <w:lang w:val="en-US"/>
        </w:rPr>
        <w:t xml:space="preserve"> </w:t>
      </w:r>
      <w:proofErr w:type="spellStart"/>
      <w:r w:rsidRPr="003F6070">
        <w:rPr>
          <w:rFonts w:ascii="Palatino Linotype" w:hAnsi="Palatino Linotype"/>
          <w:b/>
          <w:bCs/>
          <w:sz w:val="28"/>
          <w:szCs w:val="28"/>
          <w:highlight w:val="yellow"/>
          <w:lang w:val="en-US"/>
        </w:rPr>
        <w:t>institución</w:t>
      </w:r>
      <w:proofErr w:type="spellEnd"/>
      <w:r w:rsidRPr="003F6070">
        <w:rPr>
          <w:rFonts w:ascii="Palatino Linotype" w:hAnsi="Palatino Linotype"/>
          <w:b/>
          <w:bCs/>
          <w:sz w:val="28"/>
          <w:szCs w:val="28"/>
          <w:highlight w:val="yellow"/>
          <w:lang w:val="en-US"/>
        </w:rPr>
        <w:t>]</w:t>
      </w:r>
    </w:p>
    <w:p w14:paraId="0501795C" w14:textId="77777777" w:rsidR="003F6070" w:rsidRDefault="003F6070" w:rsidP="003F6070">
      <w:pPr>
        <w:rPr>
          <w:rFonts w:ascii="Palatino Linotype" w:hAnsi="Palatino Linotype" w:cs="Calibri"/>
          <w:sz w:val="22"/>
          <w:szCs w:val="22"/>
          <w:lang w:val="es-MX"/>
        </w:rPr>
      </w:pPr>
    </w:p>
    <w:p w14:paraId="24996B3B" w14:textId="77777777" w:rsidR="003F6070" w:rsidRPr="00C165F5" w:rsidRDefault="003F6070" w:rsidP="003F6070">
      <w:pPr>
        <w:jc w:val="both"/>
        <w:rPr>
          <w:rFonts w:ascii="Palatino Linotype" w:hAnsi="Palatino Linotype" w:cs="Calibri"/>
          <w:sz w:val="21"/>
          <w:szCs w:val="21"/>
          <w:lang w:val="es-MX"/>
        </w:rPr>
      </w:pPr>
      <w:r w:rsidRPr="00C165F5">
        <w:rPr>
          <w:rFonts w:ascii="Palatino Linotype" w:hAnsi="Palatino Linotype" w:cs="Calibri"/>
          <w:sz w:val="21"/>
          <w:szCs w:val="21"/>
          <w:lang w:val="es-MX"/>
        </w:rPr>
        <w:t>La Global Sepsis Alliance es una organización benéfica sin fines de lucro con la misión de proporcionar liderazgo global para reducir la carga mundial de sepsis. La GSA es el iniciador del Día Mundial de la Sepsis el 13 de septiembre y del Congreso Mundial de la Sepsis, una serie de congresos en línea gratuitos que llevan el conocimiento sobre la sepsis a todas partes del mundo, entre otras iniciativas. La GSA trabaja en estrecha colaboración con sus más de 100 organizaciones miembros, grupos de defensa de pacientes, sociedades profesionales, autoridades de atención médica y gobiernos para implementar cambios sobre cómo se prioriza, diagnostica y trata la sepsis en todo el mundo, según la Resolución de la OMS sobre la sepsis.</w:t>
      </w:r>
    </w:p>
    <w:p w14:paraId="2CB381BD" w14:textId="77777777" w:rsidR="003F6070" w:rsidRPr="00C165F5" w:rsidRDefault="003F6070" w:rsidP="003F6070">
      <w:pPr>
        <w:rPr>
          <w:rFonts w:ascii="Palatino Linotype" w:hAnsi="Palatino Linotype" w:cs="Calibri"/>
          <w:sz w:val="21"/>
          <w:szCs w:val="21"/>
          <w:lang w:val="es-MX"/>
        </w:rPr>
      </w:pPr>
    </w:p>
    <w:p w14:paraId="7D84F830" w14:textId="77777777" w:rsidR="003F6070" w:rsidRPr="00C165F5" w:rsidRDefault="00DF033C" w:rsidP="003F6070">
      <w:pPr>
        <w:rPr>
          <w:rFonts w:ascii="Palatino Linotype" w:hAnsi="Palatino Linotype" w:cs="Calibri"/>
          <w:color w:val="E5007E"/>
          <w:sz w:val="21"/>
          <w:szCs w:val="21"/>
          <w:lang w:val="en-GB"/>
        </w:rPr>
      </w:pPr>
      <w:r>
        <w:fldChar w:fldCharType="begin"/>
      </w:r>
      <w:r w:rsidRPr="00BE349A">
        <w:rPr>
          <w:lang w:val="en-US"/>
        </w:rPr>
        <w:instrText xml:space="preserve"> HYPERLINK </w:instrText>
      </w:r>
      <w:r>
        <w:fldChar w:fldCharType="separate"/>
      </w:r>
      <w:r w:rsidR="003F6070" w:rsidRPr="00C165F5">
        <w:rPr>
          <w:rStyle w:val="Hyperlink"/>
          <w:rFonts w:ascii="Palatino Linotype" w:hAnsi="Palatino Linotype" w:cs="Calibri"/>
          <w:color w:val="E5007E"/>
          <w:sz w:val="21"/>
          <w:szCs w:val="21"/>
          <w:lang w:val="en-GB"/>
        </w:rPr>
        <w:t>global-sepsis-alliance.org</w:t>
      </w:r>
      <w:r>
        <w:rPr>
          <w:rStyle w:val="Hyperlink"/>
          <w:rFonts w:ascii="Palatino Linotype" w:hAnsi="Palatino Linotype" w:cs="Calibri"/>
          <w:color w:val="E5007E"/>
          <w:sz w:val="21"/>
          <w:szCs w:val="21"/>
          <w:lang w:val="en-GB"/>
        </w:rPr>
        <w:fldChar w:fldCharType="end"/>
      </w:r>
      <w:r w:rsidR="003F6070" w:rsidRPr="00C165F5">
        <w:rPr>
          <w:rFonts w:ascii="Palatino Linotype" w:hAnsi="Palatino Linotype" w:cs="Calibri"/>
          <w:color w:val="E5007E"/>
          <w:sz w:val="21"/>
          <w:szCs w:val="21"/>
          <w:lang w:val="en-GB"/>
        </w:rPr>
        <w:t xml:space="preserve"> </w:t>
      </w:r>
    </w:p>
    <w:p w14:paraId="7132430B" w14:textId="77777777" w:rsidR="003F6070" w:rsidRPr="00C165F5" w:rsidRDefault="00DF033C" w:rsidP="003F6070">
      <w:pPr>
        <w:rPr>
          <w:rFonts w:ascii="Palatino Linotype" w:hAnsi="Palatino Linotype" w:cs="Calibri"/>
          <w:color w:val="E5007E"/>
          <w:sz w:val="21"/>
          <w:szCs w:val="21"/>
          <w:lang w:val="en-GB"/>
        </w:rPr>
      </w:pPr>
      <w:r>
        <w:fldChar w:fldCharType="begin"/>
      </w:r>
      <w:r w:rsidRPr="00BE349A">
        <w:rPr>
          <w:lang w:val="en-US"/>
        </w:rPr>
        <w:instrText xml:space="preserve"> HYPERLINK </w:instrText>
      </w:r>
      <w:r>
        <w:fldChar w:fldCharType="separate"/>
      </w:r>
      <w:r w:rsidR="003F6070" w:rsidRPr="00C165F5">
        <w:rPr>
          <w:rStyle w:val="Hyperlink"/>
          <w:rFonts w:ascii="Palatino Linotype" w:hAnsi="Palatino Linotype" w:cs="Calibri"/>
          <w:color w:val="E5007E"/>
          <w:sz w:val="21"/>
          <w:szCs w:val="21"/>
          <w:lang w:val="en-GB"/>
        </w:rPr>
        <w:t>worldsepsisday.org</w:t>
      </w:r>
      <w:r>
        <w:rPr>
          <w:rStyle w:val="Hyperlink"/>
          <w:rFonts w:ascii="Palatino Linotype" w:hAnsi="Palatino Linotype" w:cs="Calibri"/>
          <w:color w:val="E5007E"/>
          <w:sz w:val="21"/>
          <w:szCs w:val="21"/>
          <w:lang w:val="en-GB"/>
        </w:rPr>
        <w:fldChar w:fldCharType="end"/>
      </w:r>
      <w:r w:rsidR="003F6070" w:rsidRPr="00C165F5">
        <w:rPr>
          <w:rFonts w:ascii="Palatino Linotype" w:hAnsi="Palatino Linotype" w:cs="Calibri"/>
          <w:color w:val="E5007E"/>
          <w:sz w:val="21"/>
          <w:szCs w:val="21"/>
          <w:lang w:val="en-GB"/>
        </w:rPr>
        <w:t xml:space="preserve"> </w:t>
      </w:r>
    </w:p>
    <w:p w14:paraId="3042F5B5" w14:textId="77777777" w:rsidR="003F6070" w:rsidRPr="00C165F5" w:rsidRDefault="003F6070" w:rsidP="003F6070">
      <w:pPr>
        <w:rPr>
          <w:rFonts w:eastAsia="Times New Roman"/>
          <w:sz w:val="21"/>
          <w:szCs w:val="21"/>
          <w:lang w:val="en-US" w:eastAsia="en-US"/>
        </w:rPr>
      </w:pPr>
    </w:p>
    <w:p w14:paraId="13D8EC36" w14:textId="4C39E159" w:rsidR="003F6070" w:rsidRPr="003F6070" w:rsidRDefault="003F6070" w:rsidP="003F6070">
      <w:pPr>
        <w:pStyle w:val="NormalWeb"/>
        <w:contextualSpacing/>
        <w:rPr>
          <w:rFonts w:ascii="Palatino Linotype" w:hAnsi="Palatino Linotype"/>
          <w:b/>
          <w:bCs/>
          <w:sz w:val="28"/>
          <w:szCs w:val="28"/>
          <w:lang w:val="en-US"/>
        </w:rPr>
      </w:pPr>
      <w:r w:rsidRPr="00C165F5">
        <w:rPr>
          <w:rFonts w:ascii="Palatino Linotype" w:hAnsi="Palatino Linotype" w:cs="Calibri"/>
          <w:b/>
          <w:bCs/>
          <w:sz w:val="21"/>
          <w:szCs w:val="21"/>
          <w:lang w:val="es-MX"/>
        </w:rPr>
        <w:t>Contacto</w:t>
      </w:r>
      <w:r>
        <w:rPr>
          <w:rFonts w:ascii="Palatino Linotype" w:hAnsi="Palatino Linotype" w:cs="Calibri"/>
          <w:b/>
          <w:bCs/>
          <w:sz w:val="21"/>
          <w:szCs w:val="21"/>
          <w:lang w:val="es-MX"/>
        </w:rPr>
        <w:t xml:space="preserve"> </w:t>
      </w:r>
      <w:r w:rsidRPr="003F6070">
        <w:rPr>
          <w:rFonts w:ascii="Palatino Linotype" w:hAnsi="Palatino Linotype"/>
          <w:b/>
          <w:bCs/>
          <w:sz w:val="28"/>
          <w:szCs w:val="28"/>
          <w:highlight w:val="yellow"/>
          <w:lang w:val="en-US"/>
        </w:rPr>
        <w:t xml:space="preserve">[ó </w:t>
      </w:r>
      <w:proofErr w:type="spellStart"/>
      <w:r w:rsidRPr="003F6070">
        <w:rPr>
          <w:rFonts w:ascii="Palatino Linotype" w:hAnsi="Palatino Linotype"/>
          <w:b/>
          <w:bCs/>
          <w:sz w:val="28"/>
          <w:szCs w:val="28"/>
          <w:highlight w:val="yellow"/>
          <w:lang w:val="en-US"/>
        </w:rPr>
        <w:t>coloque</w:t>
      </w:r>
      <w:proofErr w:type="spellEnd"/>
      <w:r w:rsidRPr="003F6070">
        <w:rPr>
          <w:rFonts w:ascii="Palatino Linotype" w:hAnsi="Palatino Linotype"/>
          <w:b/>
          <w:bCs/>
          <w:sz w:val="28"/>
          <w:szCs w:val="28"/>
          <w:highlight w:val="yellow"/>
          <w:lang w:val="en-US"/>
        </w:rPr>
        <w:t xml:space="preserve"> el </w:t>
      </w:r>
      <w:proofErr w:type="spellStart"/>
      <w:r w:rsidRPr="003F6070">
        <w:rPr>
          <w:rFonts w:ascii="Palatino Linotype" w:hAnsi="Palatino Linotype"/>
          <w:b/>
          <w:bCs/>
          <w:sz w:val="28"/>
          <w:szCs w:val="28"/>
          <w:highlight w:val="yellow"/>
          <w:lang w:val="en-US"/>
        </w:rPr>
        <w:t>contacto</w:t>
      </w:r>
      <w:proofErr w:type="spellEnd"/>
      <w:r w:rsidRPr="003F6070">
        <w:rPr>
          <w:rFonts w:ascii="Palatino Linotype" w:hAnsi="Palatino Linotype"/>
          <w:b/>
          <w:bCs/>
          <w:sz w:val="28"/>
          <w:szCs w:val="28"/>
          <w:highlight w:val="yellow"/>
          <w:lang w:val="en-US"/>
        </w:rPr>
        <w:t xml:space="preserve"> de </w:t>
      </w:r>
      <w:proofErr w:type="spellStart"/>
      <w:r w:rsidRPr="003F6070">
        <w:rPr>
          <w:rFonts w:ascii="Palatino Linotype" w:hAnsi="Palatino Linotype"/>
          <w:b/>
          <w:bCs/>
          <w:sz w:val="28"/>
          <w:szCs w:val="28"/>
          <w:highlight w:val="yellow"/>
          <w:lang w:val="en-US"/>
        </w:rPr>
        <w:t>su</w:t>
      </w:r>
      <w:proofErr w:type="spellEnd"/>
      <w:r w:rsidRPr="003F6070">
        <w:rPr>
          <w:rFonts w:ascii="Palatino Linotype" w:hAnsi="Palatino Linotype"/>
          <w:b/>
          <w:bCs/>
          <w:sz w:val="28"/>
          <w:szCs w:val="28"/>
          <w:highlight w:val="yellow"/>
          <w:lang w:val="en-US"/>
        </w:rPr>
        <w:t xml:space="preserve"> </w:t>
      </w:r>
      <w:proofErr w:type="spellStart"/>
      <w:r w:rsidRPr="003F6070">
        <w:rPr>
          <w:rFonts w:ascii="Palatino Linotype" w:hAnsi="Palatino Linotype"/>
          <w:b/>
          <w:bCs/>
          <w:sz w:val="28"/>
          <w:szCs w:val="28"/>
          <w:highlight w:val="yellow"/>
          <w:lang w:val="en-US"/>
        </w:rPr>
        <w:t>elección</w:t>
      </w:r>
      <w:proofErr w:type="spellEnd"/>
      <w:r w:rsidRPr="003F6070">
        <w:rPr>
          <w:rFonts w:ascii="Palatino Linotype" w:hAnsi="Palatino Linotype"/>
          <w:b/>
          <w:bCs/>
          <w:sz w:val="28"/>
          <w:szCs w:val="28"/>
          <w:highlight w:val="yellow"/>
          <w:lang w:val="en-US"/>
        </w:rPr>
        <w:t>]</w:t>
      </w:r>
    </w:p>
    <w:p w14:paraId="03EA83BA" w14:textId="77777777" w:rsidR="003F6070" w:rsidRPr="00C165F5" w:rsidRDefault="003F6070" w:rsidP="003F6070">
      <w:pPr>
        <w:rPr>
          <w:rFonts w:ascii="Palatino Linotype" w:hAnsi="Palatino Linotype" w:cs="Calibri"/>
          <w:sz w:val="21"/>
          <w:szCs w:val="21"/>
          <w:lang w:val="es-MX"/>
        </w:rPr>
      </w:pPr>
      <w:r w:rsidRPr="00C165F5">
        <w:rPr>
          <w:rFonts w:ascii="Palatino Linotype" w:hAnsi="Palatino Linotype" w:cs="Calibri"/>
          <w:sz w:val="21"/>
          <w:szCs w:val="21"/>
          <w:lang w:val="es-MX"/>
        </w:rPr>
        <w:t>Simone Mancini +49 176 4595 0966</w:t>
      </w:r>
    </w:p>
    <w:p w14:paraId="56CC1B36" w14:textId="77777777" w:rsidR="003F6070" w:rsidRDefault="00DF033C" w:rsidP="003F6070">
      <w:pPr>
        <w:rPr>
          <w:rFonts w:ascii="Palatino Linotype" w:hAnsi="Palatino Linotype" w:cs="Calibri"/>
          <w:color w:val="E5007E"/>
          <w:sz w:val="21"/>
          <w:szCs w:val="21"/>
          <w:lang w:val="es-MX"/>
        </w:rPr>
      </w:pPr>
      <w:hyperlink w:history="1">
        <w:r w:rsidR="003F6070" w:rsidRPr="00C165F5">
          <w:rPr>
            <w:rStyle w:val="Hyperlink"/>
            <w:rFonts w:ascii="Palatino Linotype" w:hAnsi="Palatino Linotype" w:cs="Calibri"/>
            <w:color w:val="E5007E"/>
            <w:sz w:val="21"/>
            <w:szCs w:val="21"/>
            <w:lang w:val="es-MX"/>
          </w:rPr>
          <w:t>Simone.Mancini@global-sepsis-alliance.org</w:t>
        </w:r>
      </w:hyperlink>
      <w:r w:rsidR="003F6070" w:rsidRPr="00C165F5">
        <w:rPr>
          <w:rFonts w:ascii="Palatino Linotype" w:hAnsi="Palatino Linotype" w:cs="Calibri"/>
          <w:color w:val="E5007E"/>
          <w:sz w:val="21"/>
          <w:szCs w:val="21"/>
          <w:lang w:val="es-MX"/>
        </w:rPr>
        <w:t xml:space="preserve"> </w:t>
      </w:r>
    </w:p>
    <w:p w14:paraId="6F3CB9A3" w14:textId="77777777" w:rsidR="003F6070" w:rsidRDefault="003F6070" w:rsidP="003F6070">
      <w:pPr>
        <w:rPr>
          <w:rFonts w:ascii="Palatino Linotype" w:hAnsi="Palatino Linotype" w:cs="Calibri"/>
          <w:color w:val="E5007E"/>
          <w:sz w:val="21"/>
          <w:szCs w:val="21"/>
          <w:lang w:val="es-MX"/>
        </w:rPr>
      </w:pPr>
    </w:p>
    <w:p w14:paraId="07AA85F3" w14:textId="77777777" w:rsidR="003F6070" w:rsidRPr="00C165F5" w:rsidRDefault="003F6070" w:rsidP="003F6070">
      <w:pPr>
        <w:rPr>
          <w:rFonts w:ascii="Palatino Linotype" w:hAnsi="Palatino Linotype" w:cs="Calibri"/>
          <w:color w:val="000000" w:themeColor="text1"/>
          <w:sz w:val="21"/>
          <w:szCs w:val="21"/>
          <w:lang w:val="es-MX"/>
        </w:rPr>
      </w:pPr>
      <w:r w:rsidRPr="00C165F5">
        <w:rPr>
          <w:rFonts w:ascii="Palatino Linotype" w:hAnsi="Palatino Linotype" w:cs="Calibri"/>
          <w:color w:val="000000" w:themeColor="text1"/>
          <w:sz w:val="21"/>
          <w:szCs w:val="21"/>
          <w:lang w:val="es-MX"/>
        </w:rPr>
        <w:t>Luis Antonio Gorordo Delsol</w:t>
      </w:r>
    </w:p>
    <w:p w14:paraId="33E165C3" w14:textId="77777777" w:rsidR="003F6070" w:rsidRPr="003F6070" w:rsidRDefault="00DF033C" w:rsidP="003F6070">
      <w:pPr>
        <w:rPr>
          <w:rStyle w:val="Hyperlink"/>
          <w:color w:val="E5007E"/>
          <w:lang w:val="en-US"/>
        </w:rPr>
      </w:pPr>
      <w:hyperlink r:id="rId8" w:history="1">
        <w:r w:rsidR="003F6070" w:rsidRPr="00C165F5">
          <w:rPr>
            <w:rStyle w:val="Hyperlink"/>
            <w:rFonts w:ascii="Palatino Linotype" w:hAnsi="Palatino Linotype" w:cs="Calibri"/>
            <w:color w:val="E5007E"/>
            <w:sz w:val="21"/>
            <w:szCs w:val="21"/>
            <w:lang w:val="es-MX"/>
          </w:rPr>
          <w:t>luis.gorordodelsol@icloud.com</w:t>
        </w:r>
      </w:hyperlink>
      <w:r w:rsidR="003F6070" w:rsidRPr="003F6070">
        <w:rPr>
          <w:rStyle w:val="Hyperlink"/>
          <w:color w:val="E5007E"/>
          <w:lang w:val="en-US"/>
        </w:rPr>
        <w:t xml:space="preserve"> </w:t>
      </w:r>
    </w:p>
    <w:p w14:paraId="0EA8C89E" w14:textId="41388153" w:rsidR="000A1F4B" w:rsidRPr="003F6070" w:rsidRDefault="000A1F4B" w:rsidP="003F6070">
      <w:pPr>
        <w:rPr>
          <w:lang w:val="en-US"/>
        </w:rPr>
      </w:pPr>
    </w:p>
    <w:sectPr w:rsidR="000A1F4B" w:rsidRPr="003F6070" w:rsidSect="002E1726">
      <w:headerReference w:type="even" r:id="rId9"/>
      <w:headerReference w:type="default" r:id="rId10"/>
      <w:footerReference w:type="even" r:id="rId11"/>
      <w:footerReference w:type="default" r:id="rId12"/>
      <w:headerReference w:type="first" r:id="rId13"/>
      <w:footerReference w:type="first" r:id="rId14"/>
      <w:pgSz w:w="11906" w:h="16838"/>
      <w:pgMar w:top="1951" w:right="155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30EB" w14:textId="77777777" w:rsidR="00DF033C" w:rsidRDefault="00DF033C">
      <w:r>
        <w:separator/>
      </w:r>
    </w:p>
  </w:endnote>
  <w:endnote w:type="continuationSeparator" w:id="0">
    <w:p w14:paraId="28E80584" w14:textId="77777777" w:rsidR="00DF033C" w:rsidRDefault="00DF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4BE5" w14:textId="77777777" w:rsidR="00BE349A" w:rsidRDefault="00BE3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F370" w14:textId="77777777" w:rsidR="00BE349A" w:rsidRDefault="00BE3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87D2" w14:textId="564CA09A" w:rsidR="00A336FA" w:rsidRDefault="00A336FA">
    <w:pPr>
      <w:pStyle w:val="Footer"/>
    </w:pPr>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34575" w14:textId="77777777" w:rsidR="00DF033C" w:rsidRDefault="00DF033C">
      <w:bookmarkStart w:id="0" w:name="_Hlk483827447"/>
      <w:bookmarkEnd w:id="0"/>
      <w:r>
        <w:separator/>
      </w:r>
    </w:p>
  </w:footnote>
  <w:footnote w:type="continuationSeparator" w:id="0">
    <w:p w14:paraId="56C4A48F" w14:textId="77777777" w:rsidR="00DF033C" w:rsidRDefault="00DF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544F" w14:textId="77777777" w:rsidR="00BE349A" w:rsidRDefault="00BE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FC8B" w14:textId="11FE2500" w:rsidR="00A336FA" w:rsidRDefault="00A336FA" w:rsidP="00665CA4">
    <w:pPr>
      <w:pStyle w:val="Header"/>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99D7" w14:textId="77777777" w:rsidR="00BE349A" w:rsidRPr="00BE349A" w:rsidRDefault="00BE349A" w:rsidP="00BE349A">
    <w:pPr>
      <w:pStyle w:val="Header"/>
      <w:jc w:val="both"/>
      <w:rPr>
        <w:rFonts w:ascii="Palatino Linotype" w:hAnsi="Palatino Linotype"/>
        <w:i/>
        <w:iCs/>
        <w:sz w:val="22"/>
        <w:szCs w:val="22"/>
        <w:lang w:val="en-US"/>
      </w:rPr>
    </w:pPr>
    <w:r w:rsidRPr="00BE349A">
      <w:rPr>
        <w:rFonts w:ascii="Palatino Linotype" w:hAnsi="Palatino Linotype"/>
        <w:i/>
        <w:iCs/>
        <w:sz w:val="22"/>
        <w:szCs w:val="22"/>
        <w:lang w:val="en-US"/>
      </w:rPr>
      <w:t>DISCLAIMER</w:t>
    </w:r>
  </w:p>
  <w:p w14:paraId="0BD76EC8" w14:textId="175AF9E4" w:rsidR="00A336FA" w:rsidRPr="00BE349A" w:rsidRDefault="00BE349A" w:rsidP="00BE349A">
    <w:pPr>
      <w:pStyle w:val="Header"/>
      <w:jc w:val="both"/>
      <w:rPr>
        <w:rFonts w:ascii="Palatino Linotype" w:hAnsi="Palatino Linotype"/>
        <w:i/>
        <w:iCs/>
        <w:sz w:val="22"/>
        <w:szCs w:val="22"/>
        <w:lang w:val="en-US"/>
      </w:rPr>
    </w:pPr>
    <w:r w:rsidRPr="002D24F1">
      <w:rPr>
        <w:rFonts w:ascii="Palatino Linotype" w:hAnsi="Palatino Linotype"/>
        <w:i/>
        <w:iCs/>
        <w:sz w:val="22"/>
        <w:szCs w:val="22"/>
        <w:lang w:val="en-US"/>
      </w:rPr>
      <w:t xml:space="preserve">The objective of this </w:t>
    </w:r>
    <w:r>
      <w:rPr>
        <w:rFonts w:ascii="Palatino Linotype" w:hAnsi="Palatino Linotype"/>
        <w:i/>
        <w:iCs/>
        <w:sz w:val="22"/>
        <w:szCs w:val="22"/>
        <w:lang w:val="en-US"/>
      </w:rPr>
      <w:t xml:space="preserve">press release </w:t>
    </w:r>
    <w:r w:rsidRPr="002D24F1">
      <w:rPr>
        <w:rFonts w:ascii="Palatino Linotype" w:hAnsi="Palatino Linotype"/>
        <w:i/>
        <w:iCs/>
        <w:sz w:val="22"/>
        <w:szCs w:val="22"/>
        <w:lang w:val="en-US"/>
      </w:rPr>
      <w:t xml:space="preserve">template is to allow </w:t>
    </w:r>
    <w:proofErr w:type="spellStart"/>
    <w:r w:rsidRPr="002D24F1">
      <w:rPr>
        <w:rFonts w:ascii="Palatino Linotype" w:hAnsi="Palatino Linotype"/>
        <w:i/>
        <w:iCs/>
        <w:sz w:val="22"/>
        <w:szCs w:val="22"/>
        <w:lang w:val="en-US"/>
      </w:rPr>
      <w:t>organisations</w:t>
    </w:r>
    <w:proofErr w:type="spellEnd"/>
    <w:r w:rsidRPr="002D24F1">
      <w:rPr>
        <w:rFonts w:ascii="Palatino Linotype" w:hAnsi="Palatino Linotype"/>
        <w:i/>
        <w:iCs/>
        <w:sz w:val="22"/>
        <w:szCs w:val="22"/>
        <w:lang w:val="en-US"/>
      </w:rPr>
      <w:t xml:space="preserve"> to raise awareness about sepsis and World Sepsis Day. It can be modified and adapted. Changes</w:t>
    </w:r>
    <w:r>
      <w:rPr>
        <w:rFonts w:ascii="Palatino Linotype" w:hAnsi="Palatino Linotype"/>
        <w:i/>
        <w:iCs/>
        <w:sz w:val="22"/>
        <w:szCs w:val="22"/>
        <w:lang w:val="en-US"/>
      </w:rPr>
      <w:t xml:space="preserve"> to the text</w:t>
    </w:r>
    <w:r w:rsidRPr="002D24F1">
      <w:rPr>
        <w:rFonts w:ascii="Palatino Linotype" w:hAnsi="Palatino Linotype"/>
        <w:i/>
        <w:iCs/>
        <w:sz w:val="22"/>
        <w:szCs w:val="22"/>
        <w:lang w:val="en-US"/>
      </w:rPr>
      <w:t xml:space="preserve"> cannot be attributed to the Global Sepsis Alliance. </w:t>
    </w:r>
  </w:p>
  <w:p w14:paraId="62C1AECB" w14:textId="7F7E091A" w:rsidR="00A336FA" w:rsidRPr="00BE349A" w:rsidRDefault="00A336FA">
    <w:pPr>
      <w:pStyle w:val="Header"/>
      <w:rPr>
        <w:lang w:val="en-US"/>
      </w:rPr>
    </w:pPr>
  </w:p>
  <w:p w14:paraId="3B5B8E2B" w14:textId="5D3AF745" w:rsidR="00A336FA" w:rsidRPr="00BE349A" w:rsidRDefault="00A336FA">
    <w:pPr>
      <w:pStyle w:val="Header"/>
      <w:rPr>
        <w:lang w:val="en-US"/>
      </w:rPr>
    </w:pPr>
  </w:p>
  <w:p w14:paraId="4269DB17" w14:textId="53613A65" w:rsidR="00A336FA" w:rsidRPr="00BE349A" w:rsidRDefault="00A336F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32D7F"/>
    <w:rsid w:val="00053DCB"/>
    <w:rsid w:val="00054325"/>
    <w:rsid w:val="00055277"/>
    <w:rsid w:val="00061048"/>
    <w:rsid w:val="00064DF7"/>
    <w:rsid w:val="00066DF6"/>
    <w:rsid w:val="00072355"/>
    <w:rsid w:val="00074AA8"/>
    <w:rsid w:val="00080476"/>
    <w:rsid w:val="00092E7B"/>
    <w:rsid w:val="000959CC"/>
    <w:rsid w:val="000A1F4B"/>
    <w:rsid w:val="000A577C"/>
    <w:rsid w:val="000A7C27"/>
    <w:rsid w:val="000B068F"/>
    <w:rsid w:val="000B4F34"/>
    <w:rsid w:val="000C08BA"/>
    <w:rsid w:val="000C0967"/>
    <w:rsid w:val="001167F6"/>
    <w:rsid w:val="0012436C"/>
    <w:rsid w:val="001336BE"/>
    <w:rsid w:val="00133AC9"/>
    <w:rsid w:val="001351CC"/>
    <w:rsid w:val="00145644"/>
    <w:rsid w:val="0017494D"/>
    <w:rsid w:val="00174B4F"/>
    <w:rsid w:val="00181926"/>
    <w:rsid w:val="00185C6F"/>
    <w:rsid w:val="001902D7"/>
    <w:rsid w:val="001B7700"/>
    <w:rsid w:val="001C0517"/>
    <w:rsid w:val="001C2E05"/>
    <w:rsid w:val="001E194C"/>
    <w:rsid w:val="001F7767"/>
    <w:rsid w:val="00207118"/>
    <w:rsid w:val="00210A4D"/>
    <w:rsid w:val="0021186D"/>
    <w:rsid w:val="0021780B"/>
    <w:rsid w:val="00225C10"/>
    <w:rsid w:val="00241A9A"/>
    <w:rsid w:val="0024623B"/>
    <w:rsid w:val="0024678F"/>
    <w:rsid w:val="00253D78"/>
    <w:rsid w:val="002643D8"/>
    <w:rsid w:val="002804FC"/>
    <w:rsid w:val="00286E25"/>
    <w:rsid w:val="00287511"/>
    <w:rsid w:val="0029044E"/>
    <w:rsid w:val="00292C21"/>
    <w:rsid w:val="002A4C4C"/>
    <w:rsid w:val="002E1726"/>
    <w:rsid w:val="002E7FBE"/>
    <w:rsid w:val="003162BF"/>
    <w:rsid w:val="00351612"/>
    <w:rsid w:val="003528EA"/>
    <w:rsid w:val="00355F86"/>
    <w:rsid w:val="00362F62"/>
    <w:rsid w:val="00373B33"/>
    <w:rsid w:val="003B7383"/>
    <w:rsid w:val="003C09E4"/>
    <w:rsid w:val="003C2078"/>
    <w:rsid w:val="003D6D8D"/>
    <w:rsid w:val="003E27B6"/>
    <w:rsid w:val="003E3C32"/>
    <w:rsid w:val="003F6070"/>
    <w:rsid w:val="00421917"/>
    <w:rsid w:val="00425F2F"/>
    <w:rsid w:val="00472473"/>
    <w:rsid w:val="004918F2"/>
    <w:rsid w:val="00495282"/>
    <w:rsid w:val="004F66C9"/>
    <w:rsid w:val="004F6879"/>
    <w:rsid w:val="00501C56"/>
    <w:rsid w:val="00513F69"/>
    <w:rsid w:val="00536536"/>
    <w:rsid w:val="005461B0"/>
    <w:rsid w:val="00561A2D"/>
    <w:rsid w:val="00566402"/>
    <w:rsid w:val="00576189"/>
    <w:rsid w:val="00581491"/>
    <w:rsid w:val="0058500D"/>
    <w:rsid w:val="005867DB"/>
    <w:rsid w:val="005B3366"/>
    <w:rsid w:val="005C0B96"/>
    <w:rsid w:val="005D5557"/>
    <w:rsid w:val="006028C8"/>
    <w:rsid w:val="0061095F"/>
    <w:rsid w:val="00643501"/>
    <w:rsid w:val="0064507A"/>
    <w:rsid w:val="00665CA4"/>
    <w:rsid w:val="006824F2"/>
    <w:rsid w:val="0068718C"/>
    <w:rsid w:val="006931AD"/>
    <w:rsid w:val="00695860"/>
    <w:rsid w:val="006A7E20"/>
    <w:rsid w:val="006E4C6D"/>
    <w:rsid w:val="00705B40"/>
    <w:rsid w:val="00711F5B"/>
    <w:rsid w:val="0071330F"/>
    <w:rsid w:val="0071619D"/>
    <w:rsid w:val="00723E58"/>
    <w:rsid w:val="007301EC"/>
    <w:rsid w:val="007327F4"/>
    <w:rsid w:val="00762A8C"/>
    <w:rsid w:val="00765573"/>
    <w:rsid w:val="007A3FF2"/>
    <w:rsid w:val="007A413D"/>
    <w:rsid w:val="007B183D"/>
    <w:rsid w:val="007B44A3"/>
    <w:rsid w:val="007B7571"/>
    <w:rsid w:val="007D087A"/>
    <w:rsid w:val="007D0AE9"/>
    <w:rsid w:val="007F6CBE"/>
    <w:rsid w:val="008042F5"/>
    <w:rsid w:val="0081799E"/>
    <w:rsid w:val="00824AA8"/>
    <w:rsid w:val="008504C1"/>
    <w:rsid w:val="00870AC4"/>
    <w:rsid w:val="008754EB"/>
    <w:rsid w:val="00890CF1"/>
    <w:rsid w:val="008B0E14"/>
    <w:rsid w:val="008B4060"/>
    <w:rsid w:val="008C08EC"/>
    <w:rsid w:val="008D69B3"/>
    <w:rsid w:val="008E3D78"/>
    <w:rsid w:val="008F0ACF"/>
    <w:rsid w:val="008F4B36"/>
    <w:rsid w:val="009153A8"/>
    <w:rsid w:val="00916527"/>
    <w:rsid w:val="00920DD4"/>
    <w:rsid w:val="00922DAC"/>
    <w:rsid w:val="00930058"/>
    <w:rsid w:val="00931579"/>
    <w:rsid w:val="00934A8C"/>
    <w:rsid w:val="00936082"/>
    <w:rsid w:val="009512B1"/>
    <w:rsid w:val="00952379"/>
    <w:rsid w:val="00965FAC"/>
    <w:rsid w:val="009714AA"/>
    <w:rsid w:val="009821AA"/>
    <w:rsid w:val="00984DBF"/>
    <w:rsid w:val="00987771"/>
    <w:rsid w:val="00992ECD"/>
    <w:rsid w:val="00993B99"/>
    <w:rsid w:val="009C4607"/>
    <w:rsid w:val="009C4F28"/>
    <w:rsid w:val="009D2B23"/>
    <w:rsid w:val="009D7928"/>
    <w:rsid w:val="00A05599"/>
    <w:rsid w:val="00A10A78"/>
    <w:rsid w:val="00A336FA"/>
    <w:rsid w:val="00A47F02"/>
    <w:rsid w:val="00A54965"/>
    <w:rsid w:val="00A62EAC"/>
    <w:rsid w:val="00A6560A"/>
    <w:rsid w:val="00A66944"/>
    <w:rsid w:val="00A9231F"/>
    <w:rsid w:val="00AC02DF"/>
    <w:rsid w:val="00AF0EB6"/>
    <w:rsid w:val="00AF2A1E"/>
    <w:rsid w:val="00AF67BF"/>
    <w:rsid w:val="00B26444"/>
    <w:rsid w:val="00B42B04"/>
    <w:rsid w:val="00BB754D"/>
    <w:rsid w:val="00BC316B"/>
    <w:rsid w:val="00BE349A"/>
    <w:rsid w:val="00BF0EFD"/>
    <w:rsid w:val="00BF3FCE"/>
    <w:rsid w:val="00C02547"/>
    <w:rsid w:val="00C2126E"/>
    <w:rsid w:val="00C31E46"/>
    <w:rsid w:val="00C542AE"/>
    <w:rsid w:val="00C836BA"/>
    <w:rsid w:val="00C843DD"/>
    <w:rsid w:val="00C858D5"/>
    <w:rsid w:val="00C92855"/>
    <w:rsid w:val="00CC3870"/>
    <w:rsid w:val="00CD791C"/>
    <w:rsid w:val="00CE23F2"/>
    <w:rsid w:val="00D06F9A"/>
    <w:rsid w:val="00D0760C"/>
    <w:rsid w:val="00D106C1"/>
    <w:rsid w:val="00D20766"/>
    <w:rsid w:val="00D25087"/>
    <w:rsid w:val="00D463D4"/>
    <w:rsid w:val="00D54604"/>
    <w:rsid w:val="00D5713A"/>
    <w:rsid w:val="00D76D3D"/>
    <w:rsid w:val="00D80DD7"/>
    <w:rsid w:val="00D9180D"/>
    <w:rsid w:val="00DA0549"/>
    <w:rsid w:val="00DA55C9"/>
    <w:rsid w:val="00DC4BE8"/>
    <w:rsid w:val="00DD0E76"/>
    <w:rsid w:val="00DD33E9"/>
    <w:rsid w:val="00DE7600"/>
    <w:rsid w:val="00DF033C"/>
    <w:rsid w:val="00DF3CBE"/>
    <w:rsid w:val="00E1758A"/>
    <w:rsid w:val="00E26B32"/>
    <w:rsid w:val="00E34452"/>
    <w:rsid w:val="00E419DF"/>
    <w:rsid w:val="00E55FE0"/>
    <w:rsid w:val="00E7549A"/>
    <w:rsid w:val="00E86360"/>
    <w:rsid w:val="00E9140D"/>
    <w:rsid w:val="00EA4CF5"/>
    <w:rsid w:val="00EB197A"/>
    <w:rsid w:val="00EB4318"/>
    <w:rsid w:val="00EB53A0"/>
    <w:rsid w:val="00EC53B1"/>
    <w:rsid w:val="00EC606A"/>
    <w:rsid w:val="00EC668C"/>
    <w:rsid w:val="00ED5C7A"/>
    <w:rsid w:val="00EE457F"/>
    <w:rsid w:val="00EF1E94"/>
    <w:rsid w:val="00EF7A96"/>
    <w:rsid w:val="00F05A2A"/>
    <w:rsid w:val="00F302B2"/>
    <w:rsid w:val="00F66262"/>
    <w:rsid w:val="00F73C34"/>
    <w:rsid w:val="00F7545C"/>
    <w:rsid w:val="00F758F6"/>
    <w:rsid w:val="00F861EE"/>
    <w:rsid w:val="00FA65D1"/>
    <w:rsid w:val="00FB2FF5"/>
    <w:rsid w:val="00FE5CB5"/>
    <w:rsid w:val="00FF2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customStyle="1" w:styleId="Mention1">
    <w:name w:val="Mention1"/>
    <w:basedOn w:val="DefaultParagraphFont"/>
    <w:uiPriority w:val="99"/>
    <w:semiHidden/>
    <w:unhideWhenUsed/>
    <w:rsid w:val="0012436C"/>
    <w:rPr>
      <w:color w:val="2B579A"/>
      <w:shd w:val="clear" w:color="auto" w:fill="E6E6E6"/>
    </w:rPr>
  </w:style>
  <w:style w:type="character" w:customStyle="1" w:styleId="UnresolvedMention1">
    <w:name w:val="Unresolved Mention1"/>
    <w:basedOn w:val="DefaultParagraphFont"/>
    <w:uiPriority w:val="99"/>
    <w:semiHidden/>
    <w:unhideWhenUsed/>
    <w:rsid w:val="00C858D5"/>
    <w:rPr>
      <w:color w:val="808080"/>
      <w:shd w:val="clear" w:color="auto" w:fill="E6E6E6"/>
    </w:rPr>
  </w:style>
  <w:style w:type="character" w:styleId="CommentReference">
    <w:name w:val="annotation reference"/>
    <w:basedOn w:val="DefaultParagraphFont"/>
    <w:semiHidden/>
    <w:unhideWhenUsed/>
    <w:rsid w:val="003162BF"/>
    <w:rPr>
      <w:sz w:val="16"/>
      <w:szCs w:val="16"/>
    </w:rPr>
  </w:style>
  <w:style w:type="paragraph" w:styleId="CommentText">
    <w:name w:val="annotation text"/>
    <w:basedOn w:val="Normal"/>
    <w:link w:val="CommentTextChar"/>
    <w:unhideWhenUsed/>
    <w:rsid w:val="003162BF"/>
    <w:rPr>
      <w:sz w:val="20"/>
      <w:szCs w:val="20"/>
    </w:rPr>
  </w:style>
  <w:style w:type="character" w:customStyle="1" w:styleId="CommentTextChar">
    <w:name w:val="Comment Text Char"/>
    <w:basedOn w:val="DefaultParagraphFont"/>
    <w:link w:val="CommentText"/>
    <w:rsid w:val="003162BF"/>
    <w:rPr>
      <w:rFonts w:eastAsia="Calibri"/>
    </w:rPr>
  </w:style>
  <w:style w:type="paragraph" w:styleId="CommentSubject">
    <w:name w:val="annotation subject"/>
    <w:basedOn w:val="CommentText"/>
    <w:next w:val="CommentText"/>
    <w:link w:val="CommentSubjectChar"/>
    <w:semiHidden/>
    <w:unhideWhenUsed/>
    <w:rsid w:val="003162BF"/>
    <w:rPr>
      <w:b/>
      <w:bCs/>
    </w:rPr>
  </w:style>
  <w:style w:type="character" w:customStyle="1" w:styleId="CommentSubjectChar">
    <w:name w:val="Comment Subject Char"/>
    <w:basedOn w:val="CommentTextChar"/>
    <w:link w:val="CommentSubject"/>
    <w:semiHidden/>
    <w:rsid w:val="003162BF"/>
    <w:rPr>
      <w:rFonts w:eastAsia="Calibri"/>
      <w:b/>
      <w:bCs/>
    </w:rPr>
  </w:style>
  <w:style w:type="paragraph" w:styleId="FootnoteText">
    <w:name w:val="footnote text"/>
    <w:basedOn w:val="Normal"/>
    <w:link w:val="FootnoteTextChar"/>
    <w:semiHidden/>
    <w:unhideWhenUsed/>
    <w:rsid w:val="003C2078"/>
    <w:rPr>
      <w:sz w:val="20"/>
      <w:szCs w:val="20"/>
    </w:rPr>
  </w:style>
  <w:style w:type="character" w:customStyle="1" w:styleId="FootnoteTextChar">
    <w:name w:val="Footnote Text Char"/>
    <w:basedOn w:val="DefaultParagraphFont"/>
    <w:link w:val="FootnoteText"/>
    <w:semiHidden/>
    <w:rsid w:val="003C2078"/>
    <w:rPr>
      <w:rFonts w:eastAsia="Calibri"/>
    </w:rPr>
  </w:style>
  <w:style w:type="character" w:styleId="FootnoteReference">
    <w:name w:val="footnote reference"/>
    <w:basedOn w:val="DefaultParagraphFont"/>
    <w:semiHidden/>
    <w:unhideWhenUsed/>
    <w:rsid w:val="003C2078"/>
    <w:rPr>
      <w:vertAlign w:val="superscript"/>
    </w:rPr>
  </w:style>
  <w:style w:type="paragraph" w:customStyle="1" w:styleId="EndNoteBibliography">
    <w:name w:val="EndNote Bibliography"/>
    <w:basedOn w:val="Normal"/>
    <w:link w:val="EndNoteBibliographyChar"/>
    <w:rsid w:val="003C2078"/>
    <w:pPr>
      <w:spacing w:after="160"/>
    </w:pPr>
    <w:rPr>
      <w:rFonts w:ascii="Calibri" w:eastAsiaTheme="minorHAnsi" w:hAnsi="Calibri" w:cs="Calibri"/>
      <w:sz w:val="22"/>
      <w:szCs w:val="22"/>
      <w:lang w:val="en-US" w:eastAsia="en-US"/>
    </w:rPr>
  </w:style>
  <w:style w:type="character" w:customStyle="1" w:styleId="EndNoteBibliographyChar">
    <w:name w:val="EndNote Bibliography Char"/>
    <w:basedOn w:val="DefaultParagraphFont"/>
    <w:link w:val="EndNoteBibliography"/>
    <w:rsid w:val="003C2078"/>
    <w:rPr>
      <w:rFonts w:ascii="Calibri" w:eastAsiaTheme="minorHAnsi" w:hAnsi="Calibri" w:cs="Calibri"/>
      <w:sz w:val="22"/>
      <w:szCs w:val="22"/>
      <w:lang w:val="en-US" w:eastAsia="en-US"/>
    </w:rPr>
  </w:style>
  <w:style w:type="character" w:customStyle="1" w:styleId="HeaderChar">
    <w:name w:val="Header Char"/>
    <w:basedOn w:val="DefaultParagraphFont"/>
    <w:link w:val="Header"/>
    <w:rsid w:val="00BE3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9848">
      <w:bodyDiv w:val="1"/>
      <w:marLeft w:val="0"/>
      <w:marRight w:val="0"/>
      <w:marTop w:val="0"/>
      <w:marBottom w:val="0"/>
      <w:divBdr>
        <w:top w:val="none" w:sz="0" w:space="0" w:color="auto"/>
        <w:left w:val="none" w:sz="0" w:space="0" w:color="auto"/>
        <w:bottom w:val="none" w:sz="0" w:space="0" w:color="auto"/>
        <w:right w:val="none" w:sz="0" w:space="0" w:color="auto"/>
      </w:divBdr>
    </w:div>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 w:id="1917982168">
      <w:bodyDiv w:val="1"/>
      <w:marLeft w:val="0"/>
      <w:marRight w:val="0"/>
      <w:marTop w:val="0"/>
      <w:marBottom w:val="0"/>
      <w:divBdr>
        <w:top w:val="none" w:sz="0" w:space="0" w:color="auto"/>
        <w:left w:val="none" w:sz="0" w:space="0" w:color="auto"/>
        <w:bottom w:val="none" w:sz="0" w:space="0" w:color="auto"/>
        <w:right w:val="none" w:sz="0" w:space="0" w:color="auto"/>
      </w:divBdr>
    </w:div>
    <w:div w:id="19912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is.gorordodelsol@iclou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4D0D-FF99-1B4A-925C-600DB369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C:\temp\GSA_Letterhead.dotx</Template>
  <TotalTime>5</TotalTime>
  <Pages>3</Pages>
  <Words>1007</Words>
  <Characters>5744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6738</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4</cp:revision>
  <cp:lastPrinted>2017-05-29T11:26:00Z</cp:lastPrinted>
  <dcterms:created xsi:type="dcterms:W3CDTF">2020-09-09T17:41:00Z</dcterms:created>
  <dcterms:modified xsi:type="dcterms:W3CDTF">2020-09-10T09:09:00Z</dcterms:modified>
  <cp:category/>
</cp:coreProperties>
</file>